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0E6544">
        <w:rPr>
          <w:sz w:val="24"/>
          <w:szCs w:val="24"/>
        </w:rPr>
        <w:t>1</w:t>
      </w:r>
      <w:r w:rsidR="00AD2B51">
        <w:rPr>
          <w:sz w:val="24"/>
          <w:szCs w:val="24"/>
        </w:rPr>
        <w:t>4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C5375B">
        <w:rPr>
          <w:sz w:val="24"/>
          <w:szCs w:val="24"/>
        </w:rPr>
        <w:t>1</w:t>
      </w:r>
      <w:r w:rsidR="00AD2B51">
        <w:rPr>
          <w:sz w:val="24"/>
          <w:szCs w:val="24"/>
        </w:rPr>
        <w:t>8</w:t>
      </w:r>
      <w:r w:rsidR="009A77E9">
        <w:rPr>
          <w:sz w:val="24"/>
          <w:szCs w:val="24"/>
        </w:rPr>
        <w:t xml:space="preserve"> de </w:t>
      </w:r>
      <w:r w:rsidR="00C5375B">
        <w:rPr>
          <w:sz w:val="24"/>
          <w:szCs w:val="24"/>
        </w:rPr>
        <w:t>enero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C05BB3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DB7B0D">
        <w:rPr>
          <w:b/>
        </w:rPr>
        <w:t xml:space="preserve">Torneo </w:t>
      </w:r>
      <w:r>
        <w:rPr>
          <w:b/>
        </w:rPr>
        <w:t>Apertura</w:t>
      </w:r>
    </w:p>
    <w:p w:rsidR="00532178" w:rsidRDefault="00532178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DB7B0D" w:rsidRPr="0047077E" w:rsidTr="00DB7B0D">
        <w:trPr>
          <w:trHeight w:val="187"/>
        </w:trPr>
        <w:tc>
          <w:tcPr>
            <w:tcW w:w="6095" w:type="dxa"/>
            <w:gridSpan w:val="4"/>
          </w:tcPr>
          <w:p w:rsidR="00DB7B0D" w:rsidRPr="0047077E" w:rsidRDefault="00DB7B0D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D2B51" w:rsidRPr="0047077E" w:rsidTr="00DB7B0D">
        <w:trPr>
          <w:trHeight w:val="187"/>
        </w:trPr>
        <w:tc>
          <w:tcPr>
            <w:tcW w:w="2268" w:type="dxa"/>
          </w:tcPr>
          <w:p w:rsidR="00AD2B51" w:rsidRPr="0047077E" w:rsidRDefault="00AD2B51" w:rsidP="00AD2B51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0" w:type="dxa"/>
          </w:tcPr>
          <w:p w:rsidR="00AD2B51" w:rsidRDefault="005E6D0D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AD2B51" w:rsidRPr="0047077E" w:rsidRDefault="00AD2B51" w:rsidP="00AD2B51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1" w:type="dxa"/>
          </w:tcPr>
          <w:p w:rsidR="00AD2B51" w:rsidRDefault="005E6D0D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AD2B51" w:rsidRPr="0047077E" w:rsidTr="00DB7B0D">
        <w:trPr>
          <w:trHeight w:val="199"/>
        </w:trPr>
        <w:tc>
          <w:tcPr>
            <w:tcW w:w="2268" w:type="dxa"/>
          </w:tcPr>
          <w:p w:rsidR="00AD2B51" w:rsidRPr="0047077E" w:rsidRDefault="00AD2B51" w:rsidP="00AD2B51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0" w:type="dxa"/>
          </w:tcPr>
          <w:p w:rsidR="00AD2B51" w:rsidRDefault="005E6D0D" w:rsidP="007C4911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AD2B51" w:rsidRPr="0047077E" w:rsidRDefault="00AD2B51" w:rsidP="00AD2B51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  <w:tc>
          <w:tcPr>
            <w:tcW w:w="851" w:type="dxa"/>
          </w:tcPr>
          <w:p w:rsidR="00AD2B51" w:rsidRDefault="005E6D0D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AD2B51" w:rsidRPr="0047077E" w:rsidTr="00DB7B0D">
        <w:trPr>
          <w:trHeight w:val="199"/>
        </w:trPr>
        <w:tc>
          <w:tcPr>
            <w:tcW w:w="2268" w:type="dxa"/>
          </w:tcPr>
          <w:p w:rsidR="00AD2B51" w:rsidRPr="0047077E" w:rsidRDefault="00AD2B51" w:rsidP="00AD2B51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Koky</w:t>
            </w:r>
            <w:proofErr w:type="spellEnd"/>
          </w:p>
        </w:tc>
        <w:tc>
          <w:tcPr>
            <w:tcW w:w="850" w:type="dxa"/>
          </w:tcPr>
          <w:p w:rsidR="00AD2B51" w:rsidRDefault="005E6D0D" w:rsidP="007C4911">
            <w:pPr>
              <w:pStyle w:val="NormalWeb"/>
              <w:jc w:val="center"/>
              <w:textAlignment w:val="top"/>
            </w:pPr>
            <w:r>
              <w:t>7</w:t>
            </w:r>
          </w:p>
        </w:tc>
        <w:tc>
          <w:tcPr>
            <w:tcW w:w="2126" w:type="dxa"/>
          </w:tcPr>
          <w:p w:rsidR="00AD2B51" w:rsidRPr="0047077E" w:rsidRDefault="00AD2B51" w:rsidP="00AD2B51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1" w:type="dxa"/>
          </w:tcPr>
          <w:p w:rsidR="00AD2B51" w:rsidRDefault="005E6D0D" w:rsidP="000765DC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AD2B51" w:rsidRPr="0047077E" w:rsidTr="00DB7B0D">
        <w:trPr>
          <w:trHeight w:val="199"/>
        </w:trPr>
        <w:tc>
          <w:tcPr>
            <w:tcW w:w="2268" w:type="dxa"/>
          </w:tcPr>
          <w:p w:rsidR="00AD2B51" w:rsidRPr="0047077E" w:rsidRDefault="00AD2B51" w:rsidP="00AD2B51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0" w:type="dxa"/>
          </w:tcPr>
          <w:p w:rsidR="00AD2B51" w:rsidRDefault="005E6D0D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AD2B51" w:rsidRPr="0047077E" w:rsidRDefault="00AD2B51" w:rsidP="00AD2B51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1" w:type="dxa"/>
          </w:tcPr>
          <w:p w:rsidR="00AD2B51" w:rsidRDefault="005E6D0D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AD2B51" w:rsidRPr="0047077E" w:rsidTr="00DB7B0D">
        <w:trPr>
          <w:trHeight w:val="248"/>
        </w:trPr>
        <w:tc>
          <w:tcPr>
            <w:tcW w:w="2268" w:type="dxa"/>
          </w:tcPr>
          <w:p w:rsidR="00AD2B51" w:rsidRDefault="00AD2B51" w:rsidP="00AD2B51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0" w:type="dxa"/>
          </w:tcPr>
          <w:p w:rsidR="00AD2B51" w:rsidRDefault="005E6D0D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AD2B51" w:rsidRDefault="00AD2B51" w:rsidP="00AD2B51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1" w:type="dxa"/>
          </w:tcPr>
          <w:p w:rsidR="00AD2B51" w:rsidRDefault="005E6D0D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AD2B51" w:rsidRPr="0047077E" w:rsidTr="00DB7B0D">
        <w:trPr>
          <w:trHeight w:val="248"/>
        </w:trPr>
        <w:tc>
          <w:tcPr>
            <w:tcW w:w="2268" w:type="dxa"/>
          </w:tcPr>
          <w:p w:rsidR="00AD2B51" w:rsidRDefault="00AD2B51" w:rsidP="00AD2B51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0" w:type="dxa"/>
          </w:tcPr>
          <w:p w:rsidR="00AD2B51" w:rsidRDefault="005E6D0D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AD2B51" w:rsidRDefault="00AD2B51" w:rsidP="00AD2B51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1" w:type="dxa"/>
          </w:tcPr>
          <w:p w:rsidR="00AD2B51" w:rsidRDefault="005E6D0D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AD2B51" w:rsidRPr="0047077E" w:rsidTr="00DB7B0D">
        <w:trPr>
          <w:trHeight w:val="248"/>
        </w:trPr>
        <w:tc>
          <w:tcPr>
            <w:tcW w:w="2268" w:type="dxa"/>
          </w:tcPr>
          <w:p w:rsidR="00AD2B51" w:rsidRDefault="00AD2B51" w:rsidP="00AD2B51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0" w:type="dxa"/>
          </w:tcPr>
          <w:p w:rsidR="00AD2B51" w:rsidRDefault="005E6D0D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AD2B51" w:rsidRDefault="00AD2B51" w:rsidP="00AD2B51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1" w:type="dxa"/>
          </w:tcPr>
          <w:p w:rsidR="00AD2B51" w:rsidRDefault="005E6D0D" w:rsidP="007C4911">
            <w:pPr>
              <w:pStyle w:val="NormalWeb"/>
              <w:jc w:val="center"/>
              <w:textAlignment w:val="top"/>
            </w:pPr>
            <w:r>
              <w:t>6</w:t>
            </w:r>
          </w:p>
        </w:tc>
      </w:tr>
      <w:tr w:rsidR="00532178" w:rsidRPr="0047077E" w:rsidTr="00532178">
        <w:trPr>
          <w:trHeight w:val="248"/>
        </w:trPr>
        <w:tc>
          <w:tcPr>
            <w:tcW w:w="2268" w:type="dxa"/>
          </w:tcPr>
          <w:p w:rsidR="00532178" w:rsidRDefault="00AD2B51" w:rsidP="00965B24">
            <w:pPr>
              <w:pStyle w:val="NormalWeb"/>
              <w:jc w:val="center"/>
              <w:textAlignment w:val="top"/>
            </w:pPr>
            <w:r>
              <w:t>Honduras</w:t>
            </w:r>
          </w:p>
        </w:tc>
        <w:tc>
          <w:tcPr>
            <w:tcW w:w="3827" w:type="dxa"/>
            <w:gridSpan w:val="3"/>
          </w:tcPr>
          <w:p w:rsidR="00532178" w:rsidRDefault="00532178" w:rsidP="00532178">
            <w:pPr>
              <w:pStyle w:val="NormalWeb"/>
              <w:textAlignment w:val="top"/>
            </w:pPr>
            <w:r>
              <w:t xml:space="preserve">   </w:t>
            </w:r>
            <w:r w:rsidR="00D433FF">
              <w:t>D</w:t>
            </w:r>
            <w:r>
              <w:t>escansa</w:t>
            </w:r>
          </w:p>
        </w:tc>
      </w:tr>
    </w:tbl>
    <w:p w:rsidR="00B4112C" w:rsidRDefault="00C05BB3" w:rsidP="00C05BB3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5E6D0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Pr="00CC55C6" w:rsidRDefault="005E6D0D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</w:tr>
      <w:tr w:rsidR="005E6D0D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Pr="00CC55C6" w:rsidRDefault="005E6D0D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</w:tr>
      <w:tr w:rsidR="005E6D0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Pr="00CC55C6" w:rsidRDefault="005E6D0D" w:rsidP="00764A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</w:tr>
      <w:tr w:rsidR="005E6D0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Pr="00CC55C6" w:rsidRDefault="005E6D0D" w:rsidP="0021561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</w:tr>
      <w:tr w:rsidR="005E6D0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Pr="00CC55C6" w:rsidRDefault="005E6D0D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</w:tr>
      <w:tr w:rsidR="005E6D0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Pr="00CC55C6" w:rsidRDefault="005E6D0D" w:rsidP="00CD574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</w:tr>
      <w:tr w:rsidR="005E6D0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Pr="00CC55C6" w:rsidRDefault="005E6D0D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</w:tr>
      <w:tr w:rsidR="005E6D0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Default="005E6D0D" w:rsidP="00084C6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Default="005E6D0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</w:tr>
      <w:tr w:rsidR="005E6D0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Default="005E6D0D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Default="005E6D0D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Default="005E6D0D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5E6D0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Default="005E6D0D" w:rsidP="00764A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Default="005E6D0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</w:tr>
      <w:tr w:rsidR="005E6D0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Pr="00CC55C6" w:rsidRDefault="005E6D0D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</w:tr>
      <w:tr w:rsidR="005E6D0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Pr="00CC55C6" w:rsidRDefault="005E6D0D" w:rsidP="00BE61A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5E6D0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Pr="00CC55C6" w:rsidRDefault="005E6D0D" w:rsidP="005B7CA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5E6D0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Pr="00CC55C6" w:rsidRDefault="005E6D0D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5E6D0D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D0D" w:rsidRDefault="005E6D0D" w:rsidP="00764A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D0D" w:rsidRPr="00CC55C6" w:rsidRDefault="005E6D0D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8B51CF" w:rsidRDefault="008B51CF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AD2B51">
        <w:rPr>
          <w:b/>
          <w:u w:val="single"/>
        </w:rPr>
        <w:t>25</w:t>
      </w:r>
      <w:proofErr w:type="gramEnd"/>
      <w:r w:rsidR="00F41B9A">
        <w:rPr>
          <w:b/>
          <w:u w:val="single"/>
        </w:rPr>
        <w:t xml:space="preserve"> </w:t>
      </w:r>
      <w:r w:rsidR="00B626AC">
        <w:rPr>
          <w:b/>
          <w:u w:val="single"/>
        </w:rPr>
        <w:t>enero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F7679C">
        <w:rPr>
          <w:b/>
        </w:rPr>
        <w:t xml:space="preserve">Torneo </w:t>
      </w:r>
      <w:r w:rsidR="00532178">
        <w:rPr>
          <w:b/>
        </w:rPr>
        <w:t>Apertura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940"/>
        <w:gridCol w:w="2027"/>
        <w:gridCol w:w="2250"/>
      </w:tblGrid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277" w:type="dxa"/>
            <w:gridSpan w:val="2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AD2B51" w:rsidP="002634ED">
            <w:pPr>
              <w:pStyle w:val="NormalWeb"/>
              <w:jc w:val="both"/>
              <w:textAlignment w:val="top"/>
            </w:pPr>
            <w:r>
              <w:t>x</w:t>
            </w:r>
          </w:p>
        </w:tc>
        <w:tc>
          <w:tcPr>
            <w:tcW w:w="940" w:type="dxa"/>
          </w:tcPr>
          <w:p w:rsidR="00A433EB" w:rsidRPr="0047077E" w:rsidRDefault="00AD2B51" w:rsidP="00591CE9">
            <w:pPr>
              <w:pStyle w:val="NormalWeb"/>
              <w:jc w:val="center"/>
              <w:textAlignment w:val="top"/>
            </w:pPr>
            <w:r>
              <w:t>x</w:t>
            </w:r>
          </w:p>
        </w:tc>
        <w:tc>
          <w:tcPr>
            <w:tcW w:w="2027" w:type="dxa"/>
          </w:tcPr>
          <w:p w:rsidR="00A433EB" w:rsidRPr="0047077E" w:rsidRDefault="00AD2B51" w:rsidP="00A21A52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2250" w:type="dxa"/>
          </w:tcPr>
          <w:p w:rsidR="00A433EB" w:rsidRPr="0047077E" w:rsidRDefault="00AD2B51" w:rsidP="00A02B0A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AD2B51" w:rsidP="009B2E97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2250" w:type="dxa"/>
          </w:tcPr>
          <w:p w:rsidR="00A433EB" w:rsidRPr="0047077E" w:rsidRDefault="00AD2B51" w:rsidP="007C3AF1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A433EB" w:rsidRPr="0047077E" w:rsidRDefault="003E6F97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AD2B51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Sede</w:t>
            </w:r>
          </w:p>
        </w:tc>
        <w:tc>
          <w:tcPr>
            <w:tcW w:w="2250" w:type="dxa"/>
          </w:tcPr>
          <w:p w:rsidR="00A433EB" w:rsidRPr="0047077E" w:rsidRDefault="00AD2B51" w:rsidP="00DB7B0D">
            <w:pPr>
              <w:pStyle w:val="NormalWeb"/>
              <w:jc w:val="both"/>
              <w:textAlignment w:val="top"/>
            </w:pPr>
            <w:r>
              <w:t>Honduras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A433EB" w:rsidRPr="0047077E" w:rsidRDefault="00F92374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AD2B51" w:rsidP="007C3AF1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2250" w:type="dxa"/>
          </w:tcPr>
          <w:p w:rsidR="00A433EB" w:rsidRPr="0047077E" w:rsidRDefault="00AD2B51" w:rsidP="00D049CE">
            <w:pPr>
              <w:pStyle w:val="NormalWeb"/>
              <w:jc w:val="both"/>
              <w:textAlignment w:val="top"/>
            </w:pPr>
            <w:r>
              <w:t>Zabala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656E9D" w:rsidRDefault="00A10289" w:rsidP="00591CE9">
            <w:pPr>
              <w:pStyle w:val="NormalWeb"/>
              <w:jc w:val="center"/>
              <w:textAlignment w:val="top"/>
              <w:rPr>
                <w:sz w:val="16"/>
                <w:szCs w:val="16"/>
              </w:rPr>
            </w:pPr>
            <w:r>
              <w:t>11</w:t>
            </w:r>
          </w:p>
        </w:tc>
        <w:tc>
          <w:tcPr>
            <w:tcW w:w="2027" w:type="dxa"/>
          </w:tcPr>
          <w:p w:rsidR="00A433EB" w:rsidRDefault="00AD2B51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 </w:t>
            </w:r>
          </w:p>
        </w:tc>
        <w:tc>
          <w:tcPr>
            <w:tcW w:w="2250" w:type="dxa"/>
          </w:tcPr>
          <w:p w:rsidR="00A433EB" w:rsidRDefault="00AD2B51" w:rsidP="002634ED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</w:tr>
      <w:tr w:rsidR="00DB7B0D" w:rsidRPr="0047077E" w:rsidTr="00146F91">
        <w:trPr>
          <w:trHeight w:val="248"/>
        </w:trPr>
        <w:tc>
          <w:tcPr>
            <w:tcW w:w="1554" w:type="dxa"/>
          </w:tcPr>
          <w:p w:rsidR="00DB7B0D" w:rsidRDefault="00F92374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DB7B0D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DB7B0D" w:rsidRDefault="00AD2B51" w:rsidP="002634ED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2250" w:type="dxa"/>
          </w:tcPr>
          <w:p w:rsidR="00DB7B0D" w:rsidRDefault="00AD2B51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F92374" w:rsidRPr="0047077E" w:rsidTr="00146F91">
        <w:trPr>
          <w:trHeight w:val="248"/>
        </w:trPr>
        <w:tc>
          <w:tcPr>
            <w:tcW w:w="1554" w:type="dxa"/>
          </w:tcPr>
          <w:p w:rsidR="00F92374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F92374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F92374" w:rsidRDefault="00AD2B51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2250" w:type="dxa"/>
          </w:tcPr>
          <w:p w:rsidR="00F92374" w:rsidRDefault="00AD2B51" w:rsidP="002634ED">
            <w:pPr>
              <w:pStyle w:val="NormalWeb"/>
              <w:jc w:val="both"/>
              <w:textAlignment w:val="top"/>
            </w:pPr>
            <w:r>
              <w:t>CD Élite</w:t>
            </w:r>
          </w:p>
        </w:tc>
      </w:tr>
      <w:tr w:rsidR="00D049CE" w:rsidRPr="0047077E" w:rsidTr="0075038C">
        <w:trPr>
          <w:trHeight w:val="248"/>
        </w:trPr>
        <w:tc>
          <w:tcPr>
            <w:tcW w:w="2494" w:type="dxa"/>
            <w:gridSpan w:val="2"/>
          </w:tcPr>
          <w:p w:rsidR="00D049CE" w:rsidRDefault="002D6728" w:rsidP="002634ED">
            <w:pPr>
              <w:pStyle w:val="NormalWeb"/>
              <w:jc w:val="center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4277" w:type="dxa"/>
            <w:gridSpan w:val="2"/>
          </w:tcPr>
          <w:p w:rsidR="00D049CE" w:rsidRDefault="00D049CE" w:rsidP="002634ED">
            <w:pPr>
              <w:pStyle w:val="NormalWeb"/>
              <w:jc w:val="both"/>
              <w:textAlignment w:val="top"/>
            </w:pPr>
            <w:r>
              <w:t xml:space="preserve">      </w:t>
            </w:r>
            <w:r w:rsidR="00D433FF">
              <w:t>D</w:t>
            </w:r>
            <w:r>
              <w:t>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D842C2" w:rsidRDefault="00D842C2" w:rsidP="00A3608E">
      <w:pPr>
        <w:ind w:left="360"/>
      </w:pPr>
      <w:r>
        <w:t xml:space="preserve">Para esta jornada </w:t>
      </w:r>
      <w:r>
        <w:rPr>
          <w:b/>
          <w:u w:val="single"/>
        </w:rPr>
        <w:t>no se podrán dar de alta nuevos jugadores</w:t>
      </w:r>
      <w:r>
        <w:t>.</w:t>
      </w:r>
    </w:p>
    <w:p w:rsidR="00D842C2" w:rsidRDefault="00D842C2" w:rsidP="00A3608E">
      <w:pPr>
        <w:ind w:left="360"/>
      </w:pPr>
      <w:r>
        <w:br/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8573C">
        <w:t>.</w:t>
      </w:r>
      <w:proofErr w:type="gramEnd"/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E6D0D">
        <w:t>23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6B7DBC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26AF1">
        <w:t>1</w:t>
      </w:r>
      <w:r w:rsidR="005E6D0D">
        <w:t>7</w:t>
      </w:r>
      <w:r w:rsidR="008859E4">
        <w:t>,</w:t>
      </w:r>
      <w:r w:rsidR="00EE3FAE">
        <w:t xml:space="preserve"> </w:t>
      </w:r>
      <w:r w:rsidR="005E6D0D">
        <w:t>23</w:t>
      </w:r>
      <w:r w:rsidR="00B076FB">
        <w:t>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E6D0D">
        <w:t>3, 14, 16, 28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D76A8" w:rsidRDefault="00AA1AF2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5E6D0D">
        <w:t>3</w:t>
      </w:r>
      <w:r w:rsidR="00EE3FAE">
        <w:t xml:space="preserve">, </w:t>
      </w:r>
      <w:r w:rsidR="005E6D0D">
        <w:t>10</w:t>
      </w:r>
      <w:r w:rsidR="00EE3FAE">
        <w:t>.</w:t>
      </w:r>
      <w:r w:rsidR="00AD76A8">
        <w:t xml:space="preserve"> </w:t>
      </w:r>
    </w:p>
    <w:p w:rsidR="005E6D0D" w:rsidRDefault="005E6D0D" w:rsidP="00145E9E">
      <w:pPr>
        <w:numPr>
          <w:ilvl w:val="3"/>
          <w:numId w:val="11"/>
        </w:numPr>
      </w:pPr>
      <w:r>
        <w:t>roja al núm. 27 (Brandon Cabezas) por intento de agresión mutua con un contrario.</w:t>
      </w:r>
    </w:p>
    <w:p w:rsidR="00145E9E" w:rsidRDefault="005E6D0D" w:rsidP="005E6D0D">
      <w:pPr>
        <w:ind w:left="2880"/>
      </w:pPr>
      <w:r>
        <w:t>Se le sanciona con 6 partidos de suspensión y 24 euros de multa</w:t>
      </w:r>
      <w:proofErr w:type="gramStart"/>
      <w:r>
        <w:t>.</w:t>
      </w:r>
      <w:r w:rsidR="00724FC1">
        <w:t>.</w:t>
      </w:r>
      <w:proofErr w:type="gramEnd"/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145E9E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>licencia</w:t>
      </w:r>
      <w:proofErr w:type="gramStart"/>
      <w:r w:rsidR="008859E4">
        <w:t xml:space="preserve">: </w:t>
      </w:r>
      <w:r w:rsidR="0019259A">
        <w:t>.</w:t>
      </w:r>
      <w:proofErr w:type="gramEnd"/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26205F" w:rsidRPr="00724FC1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</w:t>
      </w:r>
      <w:proofErr w:type="gramStart"/>
      <w:r w:rsidR="00E9223A">
        <w:t xml:space="preserve">: </w:t>
      </w:r>
      <w:r w:rsidR="00AD76A8">
        <w:t>.</w:t>
      </w:r>
      <w:proofErr w:type="gramEnd"/>
      <w:r>
        <w:t xml:space="preserve">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lastRenderedPageBreak/>
        <w:t>La Perla del Oeste</w:t>
      </w:r>
    </w:p>
    <w:p w:rsidR="0026205F" w:rsidRPr="00EE3FAE" w:rsidRDefault="0026205F" w:rsidP="0018372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B7DBC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D203E7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BE2BA7">
        <w:t>2, 17, 23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BE2BA7">
        <w:t>3, 1</w:t>
      </w:r>
      <w:r w:rsidR="00724FC1">
        <w:t>4</w:t>
      </w:r>
      <w:r w:rsidR="008859E4"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37CAD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45E9E">
        <w:t>1</w:t>
      </w:r>
      <w:r w:rsidR="00BE2BA7">
        <w:t>5</w:t>
      </w:r>
      <w:r w:rsidR="00145E9E">
        <w:t>,</w:t>
      </w:r>
      <w:r w:rsidR="00724FC1">
        <w:t xml:space="preserve"> </w:t>
      </w:r>
      <w:r w:rsidR="00BE2BA7">
        <w:t>23</w:t>
      </w:r>
      <w:r w:rsidR="00BA06A9">
        <w:t>.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BE2BA7">
        <w:t>5, 24</w:t>
      </w:r>
      <w:r>
        <w:t>.</w:t>
      </w:r>
    </w:p>
    <w:p w:rsidR="00BE2BA7" w:rsidRDefault="00BE2BA7" w:rsidP="00BE2BA7">
      <w:pPr>
        <w:numPr>
          <w:ilvl w:val="3"/>
          <w:numId w:val="11"/>
        </w:numPr>
      </w:pPr>
      <w:r>
        <w:t>roja al núm. 5 (Miguel Martín Silva) por intento de agresión mutua con un contrario.</w:t>
      </w:r>
    </w:p>
    <w:p w:rsidR="00BE2BA7" w:rsidRDefault="00BE2BA7" w:rsidP="00BE2BA7">
      <w:pPr>
        <w:ind w:left="2880"/>
      </w:pPr>
      <w:r>
        <w:t>Se le sanciona con 6 partidos de suspensión y 24 euros de multa</w:t>
      </w:r>
      <w:proofErr w:type="gramStart"/>
      <w:r>
        <w:t>..</w:t>
      </w:r>
      <w:proofErr w:type="gramEnd"/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046083" w:rsidRDefault="00DF08AD" w:rsidP="00046083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D842C2">
        <w:t xml:space="preserve">4, </w:t>
      </w:r>
      <w:r w:rsidR="00BE2BA7">
        <w:t>7</w:t>
      </w:r>
      <w:r w:rsidR="00013981">
        <w:t>.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  </w:t>
      </w: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2231E9" w:rsidRPr="003500F1" w:rsidTr="0075038C">
        <w:tc>
          <w:tcPr>
            <w:tcW w:w="1531" w:type="dxa"/>
          </w:tcPr>
          <w:p w:rsidR="002231E9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 (num.5)</w:t>
            </w:r>
          </w:p>
        </w:tc>
        <w:tc>
          <w:tcPr>
            <w:tcW w:w="1134" w:type="dxa"/>
          </w:tcPr>
          <w:p w:rsidR="002231E9" w:rsidRDefault="001A08F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2231E9" w:rsidRDefault="001A08F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2231E9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2231E9" w:rsidRDefault="001A08FD" w:rsidP="001A08FD">
            <w:r>
              <w:t>Se le sanciona con 6 partidos de suspensión y 24 euros de multa por faltar al respeto, empujar y amenazar al árbitro.</w:t>
            </w:r>
          </w:p>
          <w:p w:rsidR="001A08FD" w:rsidRDefault="001A08FD" w:rsidP="001A08FD">
            <w:r>
              <w:t>Acta del 7-12-2025</w:t>
            </w:r>
          </w:p>
        </w:tc>
      </w:tr>
      <w:tr w:rsidR="001A08FD" w:rsidRPr="003500F1" w:rsidTr="0075038C">
        <w:tc>
          <w:tcPr>
            <w:tcW w:w="1531" w:type="dxa"/>
          </w:tcPr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</w:t>
            </w:r>
          </w:p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A08FD" w:rsidRDefault="001A08F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1A08FD" w:rsidRDefault="001A08FD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A08FD" w:rsidRDefault="001A08FD" w:rsidP="001A08FD">
            <w:r>
              <w:t>Se le sanciona con 12 partidos de suspensión y 48 euros de multa por faltar al respeto, empujar y amenazar al árbitro.</w:t>
            </w:r>
          </w:p>
          <w:p w:rsidR="001A08FD" w:rsidRDefault="001A08FD" w:rsidP="001A08FD">
            <w:r>
              <w:t>Acta del 7-12-2025</w:t>
            </w:r>
          </w:p>
        </w:tc>
      </w:tr>
      <w:tr w:rsidR="00046083" w:rsidRPr="003500F1" w:rsidTr="0075038C">
        <w:tc>
          <w:tcPr>
            <w:tcW w:w="1531" w:type="dxa"/>
          </w:tcPr>
          <w:p w:rsidR="00046083" w:rsidRDefault="00046083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Kenny Acevedo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19)</w:t>
            </w:r>
          </w:p>
        </w:tc>
        <w:tc>
          <w:tcPr>
            <w:tcW w:w="1134" w:type="dxa"/>
          </w:tcPr>
          <w:p w:rsidR="00046083" w:rsidRDefault="00046083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046083" w:rsidRDefault="00046083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046083" w:rsidRDefault="00046083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046083" w:rsidRDefault="00046083" w:rsidP="001A08FD">
            <w:r>
              <w:t>Se le sanciona con 6 partidos de suspensión y 24 euros de multa por menospreciar, insultar y amenazar al árbitro.</w:t>
            </w:r>
          </w:p>
          <w:p w:rsidR="00046083" w:rsidRDefault="00046083" w:rsidP="001A08FD">
            <w:r>
              <w:t>Acta del 14-12-2025</w:t>
            </w:r>
          </w:p>
        </w:tc>
      </w:tr>
      <w:tr w:rsidR="00BE2BA7" w:rsidRPr="003500F1" w:rsidTr="0075038C">
        <w:tc>
          <w:tcPr>
            <w:tcW w:w="1531" w:type="dxa"/>
          </w:tcPr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Brandon Cabezas (num.27)</w:t>
            </w:r>
          </w:p>
        </w:tc>
        <w:tc>
          <w:tcPr>
            <w:tcW w:w="1134" w:type="dxa"/>
          </w:tcPr>
          <w:p w:rsidR="00BE2BA7" w:rsidRDefault="00BE2BA7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BE2BA7" w:rsidRDefault="00BE2BA7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25-1-2026</w:t>
            </w:r>
          </w:p>
        </w:tc>
        <w:tc>
          <w:tcPr>
            <w:tcW w:w="1276" w:type="dxa"/>
          </w:tcPr>
          <w:p w:rsidR="00BE2BA7" w:rsidRDefault="00BE2BA7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1-3-2026</w:t>
            </w:r>
          </w:p>
        </w:tc>
        <w:tc>
          <w:tcPr>
            <w:tcW w:w="4253" w:type="dxa"/>
          </w:tcPr>
          <w:p w:rsidR="00BE2BA7" w:rsidRDefault="00BE2BA7" w:rsidP="00145E9E">
            <w:r>
              <w:t>Se le sanciona con 6 partidos de suspensión y 24 euros de multa por intento de agresión hacia un contrario.</w:t>
            </w:r>
          </w:p>
          <w:p w:rsidR="00BE2BA7" w:rsidRDefault="00BE2BA7" w:rsidP="00145E9E">
            <w:r>
              <w:t>Acta del 18-1-2026</w:t>
            </w:r>
          </w:p>
        </w:tc>
      </w:tr>
      <w:tr w:rsidR="00BE2BA7" w:rsidRPr="003500F1" w:rsidTr="0075038C">
        <w:tc>
          <w:tcPr>
            <w:tcW w:w="1531" w:type="dxa"/>
          </w:tcPr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Miguel Martín Silva </w:t>
            </w:r>
          </w:p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(num.5)</w:t>
            </w:r>
          </w:p>
        </w:tc>
        <w:tc>
          <w:tcPr>
            <w:tcW w:w="1134" w:type="dxa"/>
          </w:tcPr>
          <w:p w:rsidR="00BE2BA7" w:rsidRDefault="00BE2BA7" w:rsidP="001A0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BE2BA7" w:rsidRDefault="00BE2BA7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1276" w:type="dxa"/>
          </w:tcPr>
          <w:p w:rsidR="00BE2BA7" w:rsidRDefault="00BE2BA7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8-3-2026</w:t>
            </w:r>
          </w:p>
        </w:tc>
        <w:tc>
          <w:tcPr>
            <w:tcW w:w="4253" w:type="dxa"/>
          </w:tcPr>
          <w:p w:rsidR="00BE2BA7" w:rsidRDefault="00BE2BA7" w:rsidP="00BE2BA7">
            <w:r>
              <w:t>Se le sanciona con 6 partidos de suspensión y 24 euros de multa por intento de agresión hacia un contrario.</w:t>
            </w:r>
          </w:p>
          <w:p w:rsidR="00BE2BA7" w:rsidRDefault="00BE2BA7" w:rsidP="00BE2BA7">
            <w:r>
              <w:t>Acta del 18-1-2026</w:t>
            </w:r>
          </w:p>
        </w:tc>
      </w:tr>
      <w:tr w:rsidR="00BE2BA7" w:rsidRPr="003500F1" w:rsidTr="0075038C">
        <w:tc>
          <w:tcPr>
            <w:tcW w:w="1531" w:type="dxa"/>
          </w:tcPr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Jorge Caracas (num.23)</w:t>
            </w:r>
          </w:p>
        </w:tc>
        <w:tc>
          <w:tcPr>
            <w:tcW w:w="1134" w:type="dxa"/>
          </w:tcPr>
          <w:p w:rsidR="00BE2BA7" w:rsidRDefault="00BE2BA7" w:rsidP="001A0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Bilboven</w:t>
            </w:r>
            <w:proofErr w:type="spellEnd"/>
          </w:p>
        </w:tc>
        <w:tc>
          <w:tcPr>
            <w:tcW w:w="1275" w:type="dxa"/>
          </w:tcPr>
          <w:p w:rsidR="00BE2BA7" w:rsidRDefault="00BE2BA7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25-1-2026</w:t>
            </w:r>
          </w:p>
        </w:tc>
        <w:tc>
          <w:tcPr>
            <w:tcW w:w="1276" w:type="dxa"/>
          </w:tcPr>
          <w:p w:rsidR="00BE2BA7" w:rsidRDefault="00BE2BA7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25-1-2026</w:t>
            </w:r>
          </w:p>
        </w:tc>
        <w:tc>
          <w:tcPr>
            <w:tcW w:w="4253" w:type="dxa"/>
          </w:tcPr>
          <w:p w:rsidR="00BE2BA7" w:rsidRDefault="00BE2BA7" w:rsidP="00BE2BA7">
            <w:r>
              <w:t>Se le sanciona con un partido de suspensión por acumulación de tarjetas amarillas.</w:t>
            </w:r>
          </w:p>
          <w:p w:rsidR="00BE2BA7" w:rsidRDefault="00BE2BA7" w:rsidP="00BE2BA7">
            <w:r>
              <w:t>Acta del 18-1-2026</w:t>
            </w:r>
          </w:p>
        </w:tc>
      </w:tr>
      <w:tr w:rsidR="004858B9" w:rsidRPr="003500F1" w:rsidTr="0075038C">
        <w:tc>
          <w:tcPr>
            <w:tcW w:w="1531" w:type="dxa"/>
          </w:tcPr>
          <w:p w:rsidR="004858B9" w:rsidRDefault="004858B9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Falcan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Tammam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(num.2)</w:t>
            </w:r>
          </w:p>
        </w:tc>
        <w:tc>
          <w:tcPr>
            <w:tcW w:w="1134" w:type="dxa"/>
          </w:tcPr>
          <w:p w:rsidR="004858B9" w:rsidRDefault="004858B9" w:rsidP="001A0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4858B9" w:rsidRDefault="004858B9" w:rsidP="0015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25-1-2026</w:t>
            </w:r>
          </w:p>
        </w:tc>
        <w:tc>
          <w:tcPr>
            <w:tcW w:w="1276" w:type="dxa"/>
          </w:tcPr>
          <w:p w:rsidR="004858B9" w:rsidRDefault="004858B9" w:rsidP="0015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25-1-2026</w:t>
            </w:r>
          </w:p>
        </w:tc>
        <w:tc>
          <w:tcPr>
            <w:tcW w:w="4253" w:type="dxa"/>
          </w:tcPr>
          <w:p w:rsidR="004858B9" w:rsidRDefault="004858B9" w:rsidP="00151D0A">
            <w:r>
              <w:t>Se le sanciona con un partido de suspensión por acumulación de tarjetas amarillas.</w:t>
            </w:r>
          </w:p>
          <w:p w:rsidR="004858B9" w:rsidRDefault="004858B9" w:rsidP="00151D0A">
            <w:r>
              <w:t>Acta del 18-1-2026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Claudiu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Marian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Dumitru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(nº 10)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28-1-2024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a perpetuidad y 48 euros de multa por amenazar de muerte al árbitro y escupirle en la cara posteriormente.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cambia la sanción a 60 partidos y compromiso de arbitrar cuando sea necesario.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del 21-1-2024 y reunión </w:t>
            </w:r>
            <w:proofErr w:type="spellStart"/>
            <w:r>
              <w:rPr>
                <w:sz w:val="20"/>
                <w:szCs w:val="20"/>
              </w:rPr>
              <w:t>gral</w:t>
            </w:r>
            <w:proofErr w:type="spellEnd"/>
            <w:r>
              <w:rPr>
                <w:sz w:val="20"/>
                <w:szCs w:val="20"/>
              </w:rPr>
              <w:t>. 23-9-2024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AA1AF2" w:rsidRDefault="00AA1AF2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lastRenderedPageBreak/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lastRenderedPageBreak/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BD4821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4858B9" w:rsidRDefault="004858B9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4858B9" w:rsidRDefault="004858B9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4858B9" w:rsidRDefault="004858B9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4858B9" w:rsidRDefault="004858B9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lastRenderedPageBreak/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0E6544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AB7CC1">
            <w:pPr>
              <w:spacing w:before="100" w:after="100"/>
              <w:jc w:val="both"/>
            </w:pPr>
            <w:r>
              <w:t>Chapines 840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2D6728" w:rsidP="002D6728">
            <w:pPr>
              <w:spacing w:before="100" w:after="100"/>
              <w:jc w:val="center"/>
            </w:pPr>
            <w:r>
              <w:t>543,70</w:t>
            </w:r>
            <w:r w:rsidR="000E6544">
              <w:t xml:space="preserve"> €</w:t>
            </w:r>
          </w:p>
        </w:tc>
      </w:tr>
      <w:tr w:rsidR="00630F92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F92" w:rsidRDefault="002D6728" w:rsidP="002D6728">
            <w:pPr>
              <w:spacing w:before="100" w:after="100"/>
              <w:jc w:val="both"/>
            </w:pPr>
            <w:r>
              <w:t>Zabala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F92" w:rsidRDefault="002D6728" w:rsidP="00C5375B">
            <w:pPr>
              <w:spacing w:before="100" w:after="100"/>
              <w:jc w:val="center"/>
            </w:pPr>
            <w:r>
              <w:t>497,00 €</w:t>
            </w:r>
          </w:p>
        </w:tc>
      </w:tr>
      <w:tr w:rsidR="002D6728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28" w:rsidRDefault="002D6728" w:rsidP="00AB7CC1">
            <w:pPr>
              <w:spacing w:before="100" w:after="100"/>
              <w:jc w:val="both"/>
            </w:pPr>
            <w:proofErr w:type="spellStart"/>
            <w:r>
              <w:t>Koky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28" w:rsidRDefault="002D6728" w:rsidP="00C5375B">
            <w:pPr>
              <w:spacing w:before="100" w:after="100"/>
              <w:jc w:val="center"/>
            </w:pPr>
            <w:r>
              <w:t>476,00 €</w:t>
            </w:r>
          </w:p>
        </w:tc>
      </w:tr>
      <w:tr w:rsidR="002D6728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28" w:rsidRDefault="002D6728" w:rsidP="00AB7CC1">
            <w:pPr>
              <w:spacing w:before="100" w:after="100"/>
              <w:jc w:val="both"/>
            </w:pPr>
            <w:proofErr w:type="spellStart"/>
            <w:r>
              <w:t>Unirea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28" w:rsidRDefault="002D6728" w:rsidP="00C5375B">
            <w:pPr>
              <w:spacing w:before="100" w:after="100"/>
              <w:jc w:val="center"/>
            </w:pPr>
            <w:r>
              <w:t>473,75 €</w:t>
            </w:r>
          </w:p>
        </w:tc>
      </w:tr>
      <w:tr w:rsidR="002D6728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28" w:rsidRDefault="002D6728" w:rsidP="00AB7CC1">
            <w:pPr>
              <w:spacing w:before="100" w:after="100"/>
              <w:jc w:val="both"/>
            </w:pPr>
            <w:r>
              <w:t>Honduras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28" w:rsidRDefault="002D6728" w:rsidP="00C5375B">
            <w:pPr>
              <w:spacing w:before="100" w:after="100"/>
              <w:jc w:val="center"/>
            </w:pPr>
            <w:r>
              <w:t>569,50 €</w:t>
            </w:r>
          </w:p>
        </w:tc>
      </w:tr>
      <w:tr w:rsidR="002D6728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28" w:rsidRDefault="002D6728" w:rsidP="00AB7CC1">
            <w:pPr>
              <w:spacing w:before="100" w:after="100"/>
              <w:jc w:val="both"/>
            </w:pPr>
            <w:r>
              <w:t>Cafeteros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28" w:rsidRDefault="00525E19" w:rsidP="00525E19">
            <w:pPr>
              <w:spacing w:before="100" w:after="100"/>
              <w:jc w:val="center"/>
            </w:pPr>
            <w:r>
              <w:t>9</w:t>
            </w:r>
            <w:r w:rsidR="002D6728">
              <w:t>1,00 €</w:t>
            </w:r>
          </w:p>
        </w:tc>
      </w:tr>
      <w:tr w:rsidR="00525E19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5E19" w:rsidRDefault="00525E19" w:rsidP="00AB7CC1">
            <w:pPr>
              <w:spacing w:before="100" w:after="100"/>
              <w:jc w:val="both"/>
            </w:pPr>
            <w:r>
              <w:t>La Sede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5E19" w:rsidRDefault="00525E19" w:rsidP="00525E19">
            <w:pPr>
              <w:spacing w:before="100" w:after="100"/>
              <w:jc w:val="center"/>
            </w:pPr>
            <w:r>
              <w:t>25,50 €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B626AC" w:rsidRDefault="00B626AC" w:rsidP="00B626AC">
      <w:pPr>
        <w:shd w:val="clear" w:color="auto" w:fill="FFFFFF"/>
        <w:spacing w:before="100" w:after="100"/>
        <w:jc w:val="both"/>
        <w:textAlignment w:val="top"/>
      </w:pPr>
    </w:p>
    <w:p w:rsidR="00B626AC" w:rsidRDefault="00B626AC" w:rsidP="00B626AC">
      <w:pPr>
        <w:shd w:val="clear" w:color="auto" w:fill="FFFFFF"/>
        <w:spacing w:before="100" w:after="100"/>
        <w:jc w:val="both"/>
        <w:textAlignment w:val="top"/>
        <w:rPr>
          <w:b/>
          <w:u w:val="single"/>
        </w:rPr>
      </w:pPr>
      <w:r>
        <w:rPr>
          <w:b/>
        </w:rPr>
        <w:t xml:space="preserve">9,- </w:t>
      </w:r>
      <w:r>
        <w:rPr>
          <w:b/>
          <w:u w:val="single"/>
        </w:rPr>
        <w:t xml:space="preserve">Multas deportivas trimestre </w:t>
      </w:r>
      <w:proofErr w:type="spellStart"/>
      <w:r>
        <w:rPr>
          <w:b/>
          <w:u w:val="single"/>
        </w:rPr>
        <w:t>oct-dic</w:t>
      </w:r>
      <w:proofErr w:type="spellEnd"/>
      <w:r>
        <w:rPr>
          <w:b/>
          <w:u w:val="single"/>
        </w:rPr>
        <w:t xml:space="preserve"> 2025</w:t>
      </w:r>
    </w:p>
    <w:p w:rsidR="00B626AC" w:rsidRDefault="00BC68BA" w:rsidP="00B626AC">
      <w:pPr>
        <w:pStyle w:val="NormalWeb"/>
        <w:shd w:val="clear" w:color="auto" w:fill="FFFFFF"/>
        <w:jc w:val="both"/>
        <w:textAlignment w:val="top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  <w:r w:rsidR="00B626AC">
        <w:rPr>
          <w:color w:val="000000"/>
          <w:shd w:val="clear" w:color="auto" w:fill="FFFFFF"/>
        </w:rPr>
        <w:t>Se deben pagar antes del 20-1-202</w:t>
      </w:r>
      <w:r>
        <w:rPr>
          <w:color w:val="000000"/>
          <w:shd w:val="clear" w:color="auto" w:fill="FFFFFF"/>
        </w:rPr>
        <w:t>6</w:t>
      </w:r>
      <w:r w:rsidR="00B626AC">
        <w:rPr>
          <w:color w:val="000000"/>
          <w:shd w:val="clear" w:color="auto" w:fill="FFFFFF"/>
        </w:rPr>
        <w:t xml:space="preserve"> y son las siguientes: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2126"/>
        <w:gridCol w:w="1053"/>
        <w:gridCol w:w="1786"/>
        <w:gridCol w:w="1786"/>
        <w:gridCol w:w="1786"/>
      </w:tblGrid>
      <w:tr w:rsidR="00B626AC" w:rsidTr="00B626AC"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>Equipo</w:t>
            </w:r>
          </w:p>
        </w:tc>
        <w:tc>
          <w:tcPr>
            <w:tcW w:w="2839" w:type="dxa"/>
            <w:gridSpan w:val="2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>Tarjetas amarillas</w:t>
            </w:r>
          </w:p>
        </w:tc>
        <w:tc>
          <w:tcPr>
            <w:tcW w:w="1786" w:type="dxa"/>
            <w:vMerge w:val="restart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>Multas por tarjetas rojas y sanciones</w:t>
            </w:r>
          </w:p>
        </w:tc>
        <w:tc>
          <w:tcPr>
            <w:tcW w:w="1786" w:type="dxa"/>
            <w:vMerge w:val="restart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>Total deuda trimestre</w:t>
            </w:r>
          </w:p>
        </w:tc>
      </w:tr>
      <w:tr w:rsidR="00B626AC" w:rsidTr="00B626AC">
        <w:tc>
          <w:tcPr>
            <w:tcW w:w="2126" w:type="dxa"/>
            <w:vMerge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>número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Pr="008A3714" w:rsidRDefault="00B626AC" w:rsidP="00B626AC">
            <w:pPr>
              <w:pStyle w:val="NormalWeb"/>
              <w:tabs>
                <w:tab w:val="left" w:pos="480"/>
                <w:tab w:val="center" w:pos="785"/>
              </w:tabs>
              <w:textAlignment w:val="top"/>
              <w:rPr>
                <w:b/>
                <w:color w:val="000000"/>
              </w:rPr>
            </w:pPr>
            <w:r w:rsidRPr="008A3714">
              <w:rPr>
                <w:b/>
                <w:color w:val="000000"/>
              </w:rPr>
              <w:tab/>
            </w:r>
            <w:r w:rsidRPr="008A3714">
              <w:rPr>
                <w:b/>
                <w:color w:val="000000"/>
              </w:rPr>
              <w:tab/>
              <w:t xml:space="preserve">multa </w:t>
            </w:r>
          </w:p>
        </w:tc>
        <w:tc>
          <w:tcPr>
            <w:tcW w:w="1786" w:type="dxa"/>
            <w:vMerge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786" w:type="dxa"/>
            <w:vMerge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</w:p>
        </w:tc>
      </w:tr>
      <w:tr w:rsidR="00B626AC" w:rsidTr="00B626AC">
        <w:tc>
          <w:tcPr>
            <w:tcW w:w="2126" w:type="dxa"/>
          </w:tcPr>
          <w:p w:rsidR="00B626AC" w:rsidRDefault="00B626AC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Cafeteros</w:t>
            </w:r>
          </w:p>
        </w:tc>
        <w:tc>
          <w:tcPr>
            <w:tcW w:w="1053" w:type="dxa"/>
          </w:tcPr>
          <w:p w:rsidR="00B626AC" w:rsidRDefault="00B626AC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D2C97">
              <w:rPr>
                <w:color w:val="000000"/>
              </w:rPr>
              <w:t>6</w:t>
            </w:r>
          </w:p>
        </w:tc>
        <w:tc>
          <w:tcPr>
            <w:tcW w:w="1786" w:type="dxa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B626AC">
              <w:rPr>
                <w:color w:val="000000"/>
              </w:rPr>
              <w:t>,00 €</w:t>
            </w:r>
          </w:p>
        </w:tc>
        <w:tc>
          <w:tcPr>
            <w:tcW w:w="1786" w:type="dxa"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36,00 €</w:t>
            </w:r>
          </w:p>
        </w:tc>
        <w:tc>
          <w:tcPr>
            <w:tcW w:w="1786" w:type="dxa"/>
          </w:tcPr>
          <w:p w:rsidR="00B626AC" w:rsidRPr="00B27415" w:rsidRDefault="00B626AC" w:rsidP="006D2C97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6D2C97">
              <w:rPr>
                <w:b/>
                <w:color w:val="000000"/>
              </w:rPr>
              <w:t>5</w:t>
            </w:r>
            <w:r w:rsidRPr="00B27415">
              <w:rPr>
                <w:b/>
                <w:color w:val="000000"/>
              </w:rPr>
              <w:t>,00 €</w:t>
            </w:r>
          </w:p>
        </w:tc>
      </w:tr>
      <w:tr w:rsidR="00B626AC" w:rsidTr="00602A2C">
        <w:tc>
          <w:tcPr>
            <w:tcW w:w="2126" w:type="dxa"/>
            <w:shd w:val="clear" w:color="auto" w:fill="D9D9D9" w:themeFill="background1" w:themeFillShade="D9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Chapines 8 40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:rsidR="00B626AC" w:rsidRDefault="006D2C97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B626AC">
              <w:rPr>
                <w:color w:val="000000"/>
              </w:rPr>
              <w:t>,00 €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6D2C97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72,00 €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Pr="00B27415" w:rsidRDefault="00B626AC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D2C97">
              <w:rPr>
                <w:b/>
                <w:color w:val="000000"/>
              </w:rPr>
              <w:t>05</w:t>
            </w:r>
            <w:r>
              <w:rPr>
                <w:b/>
                <w:color w:val="000000"/>
              </w:rPr>
              <w:t>,00 €</w:t>
            </w:r>
          </w:p>
        </w:tc>
      </w:tr>
      <w:tr w:rsidR="00B626AC" w:rsidTr="00602A2C">
        <w:tc>
          <w:tcPr>
            <w:tcW w:w="2126" w:type="dxa"/>
            <w:shd w:val="clear" w:color="auto" w:fill="auto"/>
          </w:tcPr>
          <w:p w:rsidR="00B626AC" w:rsidRPr="00602A2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 w:rsidRPr="00602A2C">
              <w:rPr>
                <w:color w:val="000000"/>
              </w:rPr>
              <w:t>Honduras</w:t>
            </w:r>
          </w:p>
        </w:tc>
        <w:tc>
          <w:tcPr>
            <w:tcW w:w="1053" w:type="dxa"/>
            <w:shd w:val="clear" w:color="auto" w:fill="auto"/>
          </w:tcPr>
          <w:p w:rsidR="00B626AC" w:rsidRPr="00602A2C" w:rsidRDefault="006D2C97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 w:rsidRPr="00602A2C">
              <w:rPr>
                <w:color w:val="000000"/>
              </w:rPr>
              <w:t>25</w:t>
            </w:r>
          </w:p>
        </w:tc>
        <w:tc>
          <w:tcPr>
            <w:tcW w:w="1786" w:type="dxa"/>
            <w:shd w:val="clear" w:color="auto" w:fill="auto"/>
          </w:tcPr>
          <w:p w:rsidR="00B626AC" w:rsidRPr="00602A2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 w:rsidRPr="00602A2C">
              <w:rPr>
                <w:color w:val="000000"/>
              </w:rPr>
              <w:t>37</w:t>
            </w:r>
            <w:r w:rsidR="00B626AC" w:rsidRPr="00602A2C">
              <w:rPr>
                <w:color w:val="000000"/>
              </w:rPr>
              <w:t>,50 €</w:t>
            </w:r>
          </w:p>
        </w:tc>
        <w:tc>
          <w:tcPr>
            <w:tcW w:w="1786" w:type="dxa"/>
            <w:shd w:val="clear" w:color="auto" w:fill="auto"/>
          </w:tcPr>
          <w:p w:rsidR="00B626AC" w:rsidRPr="00602A2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 w:rsidRPr="00602A2C">
              <w:rPr>
                <w:color w:val="000000"/>
              </w:rPr>
              <w:t>12,00 €</w:t>
            </w:r>
          </w:p>
        </w:tc>
        <w:tc>
          <w:tcPr>
            <w:tcW w:w="1786" w:type="dxa"/>
            <w:shd w:val="clear" w:color="auto" w:fill="auto"/>
          </w:tcPr>
          <w:p w:rsidR="00B626AC" w:rsidRPr="00602A2C" w:rsidRDefault="006D2C97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 w:rsidRPr="00602A2C">
              <w:rPr>
                <w:b/>
                <w:color w:val="000000"/>
              </w:rPr>
              <w:t>49</w:t>
            </w:r>
            <w:r w:rsidR="00B626AC" w:rsidRPr="00602A2C">
              <w:rPr>
                <w:b/>
                <w:color w:val="000000"/>
              </w:rPr>
              <w:t>,50 €</w:t>
            </w:r>
          </w:p>
        </w:tc>
      </w:tr>
      <w:tr w:rsidR="00B626AC" w:rsidTr="00602A2C">
        <w:tc>
          <w:tcPr>
            <w:tcW w:w="2126" w:type="dxa"/>
            <w:shd w:val="clear" w:color="auto" w:fill="D9D9D9" w:themeFill="background1" w:themeFillShade="D9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Koky</w:t>
            </w:r>
            <w:proofErr w:type="spellEnd"/>
          </w:p>
        </w:tc>
        <w:tc>
          <w:tcPr>
            <w:tcW w:w="1053" w:type="dxa"/>
            <w:shd w:val="clear" w:color="auto" w:fill="D9D9D9" w:themeFill="background1" w:themeFillShade="D9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626AC">
              <w:rPr>
                <w:color w:val="000000"/>
              </w:rPr>
              <w:t>4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6D2C97" w:rsidP="006D2C97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="00B626AC">
              <w:rPr>
                <w:color w:val="000000"/>
              </w:rPr>
              <w:t>,00 €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6D2C97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24,00 €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Pr="00B27415" w:rsidRDefault="006D2C97" w:rsidP="006D2C97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  <w:r w:rsidR="00B626AC">
              <w:rPr>
                <w:b/>
                <w:color w:val="000000"/>
              </w:rPr>
              <w:t>,00 €</w:t>
            </w:r>
          </w:p>
        </w:tc>
      </w:tr>
      <w:tr w:rsidR="00B626AC" w:rsidTr="00B626AC">
        <w:tc>
          <w:tcPr>
            <w:tcW w:w="2126" w:type="dxa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La Sede</w:t>
            </w:r>
          </w:p>
        </w:tc>
        <w:tc>
          <w:tcPr>
            <w:tcW w:w="1053" w:type="dxa"/>
          </w:tcPr>
          <w:p w:rsidR="00B626AC" w:rsidRDefault="004D6A91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86" w:type="dxa"/>
          </w:tcPr>
          <w:p w:rsidR="00B626AC" w:rsidRDefault="004D6A91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B626AC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="00B626AC">
              <w:rPr>
                <w:color w:val="000000"/>
              </w:rPr>
              <w:t>0 €</w:t>
            </w:r>
          </w:p>
        </w:tc>
        <w:tc>
          <w:tcPr>
            <w:tcW w:w="1786" w:type="dxa"/>
          </w:tcPr>
          <w:p w:rsidR="00B626AC" w:rsidRDefault="00B626AC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</w:p>
        </w:tc>
        <w:tc>
          <w:tcPr>
            <w:tcW w:w="1786" w:type="dxa"/>
          </w:tcPr>
          <w:p w:rsidR="00B626AC" w:rsidRPr="00B27415" w:rsidRDefault="004D6A91" w:rsidP="004D6A91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B626AC">
              <w:rPr>
                <w:b/>
                <w:color w:val="000000"/>
              </w:rPr>
              <w:t>5,</w:t>
            </w:r>
            <w:r>
              <w:rPr>
                <w:b/>
                <w:color w:val="000000"/>
              </w:rPr>
              <w:t>5</w:t>
            </w:r>
            <w:r w:rsidR="00B626AC">
              <w:rPr>
                <w:b/>
                <w:color w:val="000000"/>
              </w:rPr>
              <w:t>0 €</w:t>
            </w:r>
          </w:p>
        </w:tc>
      </w:tr>
      <w:tr w:rsidR="00B626AC" w:rsidTr="00602A2C">
        <w:tc>
          <w:tcPr>
            <w:tcW w:w="2126" w:type="dxa"/>
            <w:shd w:val="clear" w:color="auto" w:fill="D9D9D9" w:themeFill="background1" w:themeFillShade="D9"/>
          </w:tcPr>
          <w:p w:rsidR="00B626AC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Unirea</w:t>
            </w:r>
            <w:proofErr w:type="spellEnd"/>
          </w:p>
        </w:tc>
        <w:tc>
          <w:tcPr>
            <w:tcW w:w="1053" w:type="dxa"/>
            <w:shd w:val="clear" w:color="auto" w:fill="D9D9D9" w:themeFill="background1" w:themeFillShade="D9"/>
          </w:tcPr>
          <w:p w:rsidR="00B626AC" w:rsidRDefault="004D6A91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4D6A91" w:rsidP="004D6A91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B626A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="00B626AC">
              <w:rPr>
                <w:color w:val="000000"/>
              </w:rPr>
              <w:t>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36,00 €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B626AC" w:rsidRPr="00B27415" w:rsidRDefault="004D6A91" w:rsidP="004D6A91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</w:t>
            </w:r>
            <w:r w:rsidR="00B626AC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  <w:r w:rsidR="00B626AC">
              <w:rPr>
                <w:b/>
                <w:color w:val="000000"/>
              </w:rPr>
              <w:t>0 €</w:t>
            </w:r>
          </w:p>
        </w:tc>
      </w:tr>
      <w:tr w:rsidR="00BC68BA" w:rsidTr="00B626AC">
        <w:tc>
          <w:tcPr>
            <w:tcW w:w="2126" w:type="dxa"/>
            <w:shd w:val="clear" w:color="auto" w:fill="FFFFFF" w:themeFill="background1"/>
          </w:tcPr>
          <w:p w:rsidR="00BC68BA" w:rsidRDefault="00BC68BA" w:rsidP="00B626AC">
            <w:pPr>
              <w:pStyle w:val="NormalWeb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Zabala</w:t>
            </w:r>
          </w:p>
        </w:tc>
        <w:tc>
          <w:tcPr>
            <w:tcW w:w="1053" w:type="dxa"/>
            <w:shd w:val="clear" w:color="auto" w:fill="FFFFFF" w:themeFill="background1"/>
          </w:tcPr>
          <w:p w:rsidR="00BC68BA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86" w:type="dxa"/>
            <w:shd w:val="clear" w:color="auto" w:fill="FFFFFF" w:themeFill="background1"/>
          </w:tcPr>
          <w:p w:rsidR="00BC68BA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33,00 €</w:t>
            </w:r>
          </w:p>
        </w:tc>
        <w:tc>
          <w:tcPr>
            <w:tcW w:w="1786" w:type="dxa"/>
            <w:shd w:val="clear" w:color="auto" w:fill="FFFFFF" w:themeFill="background1"/>
          </w:tcPr>
          <w:p w:rsidR="00BC68BA" w:rsidRDefault="004D6A91" w:rsidP="00B626AC">
            <w:pPr>
              <w:pStyle w:val="NormalWeb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48,00 €</w:t>
            </w:r>
          </w:p>
        </w:tc>
        <w:tc>
          <w:tcPr>
            <w:tcW w:w="1786" w:type="dxa"/>
            <w:shd w:val="clear" w:color="auto" w:fill="FFFFFF" w:themeFill="background1"/>
          </w:tcPr>
          <w:p w:rsidR="00BC68BA" w:rsidRPr="00BC68BA" w:rsidRDefault="004D6A91" w:rsidP="00B626AC">
            <w:pPr>
              <w:pStyle w:val="NormalWeb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81,00 €</w:t>
            </w:r>
          </w:p>
        </w:tc>
      </w:tr>
    </w:tbl>
    <w:p w:rsidR="00B626AC" w:rsidRPr="00D747D0" w:rsidRDefault="00B626AC" w:rsidP="00B626AC">
      <w:pPr>
        <w:pStyle w:val="NormalWeb"/>
        <w:shd w:val="clear" w:color="auto" w:fill="FFFFFF"/>
        <w:ind w:left="284" w:hanging="284"/>
        <w:jc w:val="both"/>
        <w:textAlignment w:val="top"/>
        <w:rPr>
          <w:color w:val="000000"/>
        </w:rPr>
      </w:pPr>
      <w:r>
        <w:rPr>
          <w:color w:val="000000"/>
        </w:rPr>
        <w:t xml:space="preserve">    A partir de la fecha límite de pago, esa deuda tendrá el mismo procedimiento que los pagos de cuotas en cuanto a recargos por demora y si supera las dos semanas adicionales la suspensión del equipo en tanto dure el impago.</w:t>
      </w:r>
    </w:p>
    <w:p w:rsidR="00B626AC" w:rsidRPr="00B626AC" w:rsidRDefault="00B626AC" w:rsidP="00B626AC">
      <w:pPr>
        <w:shd w:val="clear" w:color="auto" w:fill="FFFFFF"/>
        <w:spacing w:before="100" w:after="100"/>
        <w:jc w:val="both"/>
        <w:textAlignment w:val="top"/>
      </w:pPr>
    </w:p>
    <w:p w:rsidR="00846950" w:rsidRDefault="00DA6822" w:rsidP="006539EA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p w:rsidR="00DB1E50" w:rsidRDefault="00DB1E50" w:rsidP="002572A2"/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F84" w:rsidRDefault="00726F84">
      <w:r>
        <w:separator/>
      </w:r>
    </w:p>
  </w:endnote>
  <w:endnote w:type="continuationSeparator" w:id="0">
    <w:p w:rsidR="00726F84" w:rsidRDefault="00726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D0D" w:rsidRDefault="005E6D0D">
    <w:pPr>
      <w:pStyle w:val="Piedepgina"/>
      <w:pBdr>
        <w:bottom w:val="single" w:sz="12" w:space="1" w:color="auto"/>
      </w:pBdr>
    </w:pPr>
  </w:p>
  <w:p w:rsidR="005E6D0D" w:rsidRPr="00B62BB2" w:rsidRDefault="005E6D0D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14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18</w:t>
    </w:r>
    <w:r w:rsidRPr="00B62BB2">
      <w:rPr>
        <w:sz w:val="18"/>
        <w:szCs w:val="18"/>
      </w:rPr>
      <w:t>-</w:t>
    </w:r>
    <w:r>
      <w:rPr>
        <w:sz w:val="18"/>
        <w:szCs w:val="18"/>
      </w:rPr>
      <w:t>1-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Torneo Apertura 2025/2026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         pág.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Pr="00B62BB2">
      <w:rPr>
        <w:rStyle w:val="Nmerodepgina"/>
        <w:sz w:val="18"/>
        <w:szCs w:val="18"/>
      </w:rPr>
      <w:fldChar w:fldCharType="separate"/>
    </w:r>
    <w:r w:rsidR="004858B9">
      <w:rPr>
        <w:rStyle w:val="Nmerodepgina"/>
        <w:noProof/>
        <w:sz w:val="18"/>
        <w:szCs w:val="18"/>
      </w:rPr>
      <w:t>1</w:t>
    </w:r>
    <w:r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Pr="00B62BB2">
      <w:rPr>
        <w:rStyle w:val="Nmerodepgina"/>
        <w:sz w:val="18"/>
        <w:szCs w:val="18"/>
      </w:rPr>
      <w:fldChar w:fldCharType="separate"/>
    </w:r>
    <w:r w:rsidR="004858B9">
      <w:rPr>
        <w:rStyle w:val="Nmerodepgina"/>
        <w:noProof/>
        <w:sz w:val="18"/>
        <w:szCs w:val="18"/>
      </w:rPr>
      <w:t>7</w:t>
    </w:r>
    <w:r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F84" w:rsidRDefault="00726F84">
      <w:r>
        <w:separator/>
      </w:r>
    </w:p>
  </w:footnote>
  <w:footnote w:type="continuationSeparator" w:id="0">
    <w:p w:rsidR="00726F84" w:rsidRDefault="00726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91C"/>
    <w:rsid w:val="00002201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981"/>
    <w:rsid w:val="00013FD7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BDF"/>
    <w:rsid w:val="000A5257"/>
    <w:rsid w:val="000B091F"/>
    <w:rsid w:val="000B0CC6"/>
    <w:rsid w:val="000B15E2"/>
    <w:rsid w:val="000B314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160D"/>
    <w:rsid w:val="000F3DB9"/>
    <w:rsid w:val="000F68FF"/>
    <w:rsid w:val="000F7B22"/>
    <w:rsid w:val="00100834"/>
    <w:rsid w:val="00100CA9"/>
    <w:rsid w:val="001010FC"/>
    <w:rsid w:val="00101451"/>
    <w:rsid w:val="0010332E"/>
    <w:rsid w:val="00105262"/>
    <w:rsid w:val="001068FC"/>
    <w:rsid w:val="00107D40"/>
    <w:rsid w:val="00110D3B"/>
    <w:rsid w:val="00110D9B"/>
    <w:rsid w:val="00111A9C"/>
    <w:rsid w:val="00112EB6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254"/>
    <w:rsid w:val="00177A37"/>
    <w:rsid w:val="0018004F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CE4"/>
    <w:rsid w:val="001F1821"/>
    <w:rsid w:val="001F1960"/>
    <w:rsid w:val="001F240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0AB0"/>
    <w:rsid w:val="002C1EAD"/>
    <w:rsid w:val="002C3380"/>
    <w:rsid w:val="002C4329"/>
    <w:rsid w:val="002C7A35"/>
    <w:rsid w:val="002C7F63"/>
    <w:rsid w:val="002C7F82"/>
    <w:rsid w:val="002D02B4"/>
    <w:rsid w:val="002D0B00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C7B"/>
    <w:rsid w:val="003A4FD9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7F6D"/>
    <w:rsid w:val="003E0742"/>
    <w:rsid w:val="003E0BA3"/>
    <w:rsid w:val="003E0EAE"/>
    <w:rsid w:val="003E14F9"/>
    <w:rsid w:val="003E16ED"/>
    <w:rsid w:val="003E18DD"/>
    <w:rsid w:val="003E1C55"/>
    <w:rsid w:val="003E21B2"/>
    <w:rsid w:val="003E32B9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7C3"/>
    <w:rsid w:val="00410103"/>
    <w:rsid w:val="00410EB7"/>
    <w:rsid w:val="00411895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69F1"/>
    <w:rsid w:val="00497985"/>
    <w:rsid w:val="00497C24"/>
    <w:rsid w:val="004A0976"/>
    <w:rsid w:val="004A14F3"/>
    <w:rsid w:val="004A1756"/>
    <w:rsid w:val="004A268A"/>
    <w:rsid w:val="004A32DF"/>
    <w:rsid w:val="004A4219"/>
    <w:rsid w:val="004A4817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7AA9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74BA"/>
    <w:rsid w:val="004D7543"/>
    <w:rsid w:val="004D7DC1"/>
    <w:rsid w:val="004E1493"/>
    <w:rsid w:val="004E31C8"/>
    <w:rsid w:val="004E585D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1169E"/>
    <w:rsid w:val="005125B5"/>
    <w:rsid w:val="00512840"/>
    <w:rsid w:val="00512AC7"/>
    <w:rsid w:val="00513836"/>
    <w:rsid w:val="00515BC3"/>
    <w:rsid w:val="005160D4"/>
    <w:rsid w:val="005165E6"/>
    <w:rsid w:val="00517533"/>
    <w:rsid w:val="0051777D"/>
    <w:rsid w:val="00517D96"/>
    <w:rsid w:val="00523E08"/>
    <w:rsid w:val="00523E25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954"/>
    <w:rsid w:val="00552F97"/>
    <w:rsid w:val="005539AF"/>
    <w:rsid w:val="00554A21"/>
    <w:rsid w:val="00556B8F"/>
    <w:rsid w:val="00556BCD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E40"/>
    <w:rsid w:val="007313A9"/>
    <w:rsid w:val="007330EB"/>
    <w:rsid w:val="00733217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F15"/>
    <w:rsid w:val="00741F62"/>
    <w:rsid w:val="00742264"/>
    <w:rsid w:val="007443BF"/>
    <w:rsid w:val="007443E5"/>
    <w:rsid w:val="007459BF"/>
    <w:rsid w:val="00747DC6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3F7E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592D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51CF"/>
    <w:rsid w:val="008B5BE1"/>
    <w:rsid w:val="008B5D3F"/>
    <w:rsid w:val="008B64C3"/>
    <w:rsid w:val="008B72C3"/>
    <w:rsid w:val="008B72EF"/>
    <w:rsid w:val="008B78EC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169C"/>
    <w:rsid w:val="008E1917"/>
    <w:rsid w:val="008E21E1"/>
    <w:rsid w:val="008E3285"/>
    <w:rsid w:val="008E35F4"/>
    <w:rsid w:val="008E36F2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22E"/>
    <w:rsid w:val="0092683B"/>
    <w:rsid w:val="00926AF1"/>
    <w:rsid w:val="009306AA"/>
    <w:rsid w:val="009309DE"/>
    <w:rsid w:val="009309F1"/>
    <w:rsid w:val="0093179B"/>
    <w:rsid w:val="00931EBA"/>
    <w:rsid w:val="009339EE"/>
    <w:rsid w:val="00933C12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C8D"/>
    <w:rsid w:val="00960E27"/>
    <w:rsid w:val="009618B6"/>
    <w:rsid w:val="009619C1"/>
    <w:rsid w:val="0096207C"/>
    <w:rsid w:val="009630EE"/>
    <w:rsid w:val="00963C79"/>
    <w:rsid w:val="009641C5"/>
    <w:rsid w:val="009647CF"/>
    <w:rsid w:val="00964E3B"/>
    <w:rsid w:val="00965734"/>
    <w:rsid w:val="00965B24"/>
    <w:rsid w:val="00966521"/>
    <w:rsid w:val="009665A3"/>
    <w:rsid w:val="00966B0E"/>
    <w:rsid w:val="00966F9F"/>
    <w:rsid w:val="00967B08"/>
    <w:rsid w:val="00967F87"/>
    <w:rsid w:val="00971FB5"/>
    <w:rsid w:val="00972BAB"/>
    <w:rsid w:val="0097376D"/>
    <w:rsid w:val="009743E2"/>
    <w:rsid w:val="00974493"/>
    <w:rsid w:val="00974C33"/>
    <w:rsid w:val="00976128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23AE"/>
    <w:rsid w:val="00AB3217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137F"/>
    <w:rsid w:val="00AF4061"/>
    <w:rsid w:val="00AF53C1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D20"/>
    <w:rsid w:val="00B5532E"/>
    <w:rsid w:val="00B56AE7"/>
    <w:rsid w:val="00B56E14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11360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D4B"/>
    <w:rsid w:val="00C37E68"/>
    <w:rsid w:val="00C40828"/>
    <w:rsid w:val="00C412BF"/>
    <w:rsid w:val="00C41EE5"/>
    <w:rsid w:val="00C42106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6778"/>
    <w:rsid w:val="00C66D33"/>
    <w:rsid w:val="00C67202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905F0"/>
    <w:rsid w:val="00C90860"/>
    <w:rsid w:val="00C91B93"/>
    <w:rsid w:val="00C93658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D0695"/>
    <w:rsid w:val="00CD19CB"/>
    <w:rsid w:val="00CD2121"/>
    <w:rsid w:val="00CD21BF"/>
    <w:rsid w:val="00CD3712"/>
    <w:rsid w:val="00CD3CD5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28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602D"/>
    <w:rsid w:val="00D203E7"/>
    <w:rsid w:val="00D206D1"/>
    <w:rsid w:val="00D20E76"/>
    <w:rsid w:val="00D22483"/>
    <w:rsid w:val="00D22A1D"/>
    <w:rsid w:val="00D23327"/>
    <w:rsid w:val="00D23480"/>
    <w:rsid w:val="00D26094"/>
    <w:rsid w:val="00D270E6"/>
    <w:rsid w:val="00D322C8"/>
    <w:rsid w:val="00D3274F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DAE"/>
    <w:rsid w:val="00D82476"/>
    <w:rsid w:val="00D82FE1"/>
    <w:rsid w:val="00D830E3"/>
    <w:rsid w:val="00D83AFF"/>
    <w:rsid w:val="00D842C2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DAF"/>
    <w:rsid w:val="00E04F0A"/>
    <w:rsid w:val="00E05655"/>
    <w:rsid w:val="00E069DE"/>
    <w:rsid w:val="00E07409"/>
    <w:rsid w:val="00E1140F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90170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3FAE"/>
    <w:rsid w:val="00EE603D"/>
    <w:rsid w:val="00EE6097"/>
    <w:rsid w:val="00EE6D9A"/>
    <w:rsid w:val="00EE7009"/>
    <w:rsid w:val="00EE79EA"/>
    <w:rsid w:val="00EF11D5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DDF"/>
    <w:rsid w:val="00FC113D"/>
    <w:rsid w:val="00FC1217"/>
    <w:rsid w:val="00FC2BD1"/>
    <w:rsid w:val="00FC2F18"/>
    <w:rsid w:val="00FC3AF4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7777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39F92-1D74-4373-A976-84C38EF7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1810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2025-12-07T16:55:00Z</cp:lastPrinted>
  <dcterms:created xsi:type="dcterms:W3CDTF">2026-01-18T17:43:00Z</dcterms:created>
  <dcterms:modified xsi:type="dcterms:W3CDTF">2026-01-18T17:43:00Z</dcterms:modified>
</cp:coreProperties>
</file>